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DB171" w14:textId="77777777" w:rsidR="0077607C" w:rsidRDefault="0077607C">
      <w:r>
        <w:t>Summary of data</w:t>
      </w:r>
    </w:p>
    <w:p w14:paraId="231D154B" w14:textId="77777777" w:rsidR="0077607C" w:rsidRDefault="0077607C"/>
    <w:p w14:paraId="2DC69E89" w14:textId="6376D946" w:rsidR="0077607C" w:rsidRDefault="0077607C">
      <w:r>
        <w:t>The spreadsheet includes data from fall 1992 through spring 2012</w:t>
      </w:r>
      <w:r w:rsidR="008C545E">
        <w:t>*</w:t>
      </w:r>
      <w:r>
        <w:t>. The first winter term was winter 2004. Average retention and success rates are summarized in the following table.</w:t>
      </w:r>
    </w:p>
    <w:p w14:paraId="37BCC1C4" w14:textId="77777777" w:rsidR="0077607C" w:rsidRDefault="0077607C"/>
    <w:tbl>
      <w:tblPr>
        <w:tblStyle w:val="TableGrid"/>
        <w:tblW w:w="0" w:type="auto"/>
        <w:tblLook w:val="04A0" w:firstRow="1" w:lastRow="0" w:firstColumn="1" w:lastColumn="0" w:noHBand="0" w:noVBand="1"/>
      </w:tblPr>
      <w:tblGrid>
        <w:gridCol w:w="1771"/>
        <w:gridCol w:w="885"/>
        <w:gridCol w:w="886"/>
        <w:gridCol w:w="885"/>
        <w:gridCol w:w="886"/>
        <w:gridCol w:w="885"/>
        <w:gridCol w:w="886"/>
        <w:gridCol w:w="886"/>
        <w:gridCol w:w="886"/>
      </w:tblGrid>
      <w:tr w:rsidR="0077607C" w14:paraId="032ABA70" w14:textId="77777777" w:rsidTr="0077607C">
        <w:tc>
          <w:tcPr>
            <w:tcW w:w="1771" w:type="dxa"/>
          </w:tcPr>
          <w:p w14:paraId="5F62476E" w14:textId="77777777" w:rsidR="0077607C" w:rsidRDefault="0077607C" w:rsidP="0077607C">
            <w:pPr>
              <w:jc w:val="center"/>
            </w:pPr>
          </w:p>
        </w:tc>
        <w:tc>
          <w:tcPr>
            <w:tcW w:w="1771" w:type="dxa"/>
            <w:gridSpan w:val="2"/>
          </w:tcPr>
          <w:p w14:paraId="585B2EE3" w14:textId="77777777" w:rsidR="0077607C" w:rsidRDefault="0077607C" w:rsidP="0077607C">
            <w:pPr>
              <w:jc w:val="center"/>
            </w:pPr>
            <w:r>
              <w:t>Fall</w:t>
            </w:r>
          </w:p>
        </w:tc>
        <w:tc>
          <w:tcPr>
            <w:tcW w:w="1771" w:type="dxa"/>
            <w:gridSpan w:val="2"/>
          </w:tcPr>
          <w:p w14:paraId="3D2291D5" w14:textId="77777777" w:rsidR="0077607C" w:rsidRDefault="0077607C" w:rsidP="0077607C">
            <w:pPr>
              <w:jc w:val="center"/>
            </w:pPr>
            <w:r>
              <w:t>Spring</w:t>
            </w:r>
          </w:p>
        </w:tc>
        <w:tc>
          <w:tcPr>
            <w:tcW w:w="1771" w:type="dxa"/>
            <w:gridSpan w:val="2"/>
          </w:tcPr>
          <w:p w14:paraId="72416A46" w14:textId="77777777" w:rsidR="0077607C" w:rsidRDefault="0077607C" w:rsidP="0077607C">
            <w:pPr>
              <w:jc w:val="center"/>
            </w:pPr>
            <w:r>
              <w:t>Summer</w:t>
            </w:r>
          </w:p>
        </w:tc>
        <w:tc>
          <w:tcPr>
            <w:tcW w:w="1772" w:type="dxa"/>
            <w:gridSpan w:val="2"/>
          </w:tcPr>
          <w:p w14:paraId="5296EDB9" w14:textId="77777777" w:rsidR="0077607C" w:rsidRDefault="0077607C" w:rsidP="0077607C">
            <w:pPr>
              <w:jc w:val="center"/>
            </w:pPr>
            <w:r>
              <w:t>Winter</w:t>
            </w:r>
          </w:p>
        </w:tc>
      </w:tr>
      <w:tr w:rsidR="0077607C" w14:paraId="4FE82012" w14:textId="77777777" w:rsidTr="0077607C">
        <w:tc>
          <w:tcPr>
            <w:tcW w:w="1771" w:type="dxa"/>
          </w:tcPr>
          <w:p w14:paraId="193F0134" w14:textId="77777777" w:rsidR="0077607C" w:rsidRDefault="0077607C"/>
        </w:tc>
        <w:tc>
          <w:tcPr>
            <w:tcW w:w="885" w:type="dxa"/>
          </w:tcPr>
          <w:p w14:paraId="211DE94F" w14:textId="77777777" w:rsidR="0077607C" w:rsidRDefault="0077607C">
            <w:r>
              <w:t>Ret</w:t>
            </w:r>
          </w:p>
        </w:tc>
        <w:tc>
          <w:tcPr>
            <w:tcW w:w="886" w:type="dxa"/>
          </w:tcPr>
          <w:p w14:paraId="138C35C6" w14:textId="77777777" w:rsidR="0077607C" w:rsidRDefault="0077607C">
            <w:proofErr w:type="spellStart"/>
            <w:r>
              <w:t>Suc</w:t>
            </w:r>
            <w:proofErr w:type="spellEnd"/>
          </w:p>
        </w:tc>
        <w:tc>
          <w:tcPr>
            <w:tcW w:w="885" w:type="dxa"/>
          </w:tcPr>
          <w:p w14:paraId="04F797A5" w14:textId="77777777" w:rsidR="0077607C" w:rsidRDefault="0077607C">
            <w:r>
              <w:t>Ret</w:t>
            </w:r>
          </w:p>
        </w:tc>
        <w:tc>
          <w:tcPr>
            <w:tcW w:w="886" w:type="dxa"/>
          </w:tcPr>
          <w:p w14:paraId="29813696" w14:textId="77777777" w:rsidR="0077607C" w:rsidRDefault="0077607C">
            <w:proofErr w:type="spellStart"/>
            <w:r>
              <w:t>Suc</w:t>
            </w:r>
            <w:proofErr w:type="spellEnd"/>
          </w:p>
        </w:tc>
        <w:tc>
          <w:tcPr>
            <w:tcW w:w="885" w:type="dxa"/>
          </w:tcPr>
          <w:p w14:paraId="5D17E152" w14:textId="77777777" w:rsidR="0077607C" w:rsidRDefault="0077607C">
            <w:r>
              <w:t>Ret</w:t>
            </w:r>
          </w:p>
        </w:tc>
        <w:tc>
          <w:tcPr>
            <w:tcW w:w="886" w:type="dxa"/>
          </w:tcPr>
          <w:p w14:paraId="782BF5E8" w14:textId="77777777" w:rsidR="0077607C" w:rsidRDefault="0077607C">
            <w:proofErr w:type="spellStart"/>
            <w:r>
              <w:t>Suc</w:t>
            </w:r>
            <w:proofErr w:type="spellEnd"/>
          </w:p>
        </w:tc>
        <w:tc>
          <w:tcPr>
            <w:tcW w:w="886" w:type="dxa"/>
          </w:tcPr>
          <w:p w14:paraId="4985AD6E" w14:textId="77777777" w:rsidR="0077607C" w:rsidRDefault="0077607C">
            <w:r>
              <w:t>Ret</w:t>
            </w:r>
          </w:p>
        </w:tc>
        <w:tc>
          <w:tcPr>
            <w:tcW w:w="886" w:type="dxa"/>
          </w:tcPr>
          <w:p w14:paraId="285B4162" w14:textId="77777777" w:rsidR="0077607C" w:rsidRDefault="0077607C">
            <w:proofErr w:type="spellStart"/>
            <w:r>
              <w:t>Suc</w:t>
            </w:r>
            <w:proofErr w:type="spellEnd"/>
          </w:p>
        </w:tc>
      </w:tr>
      <w:tr w:rsidR="0077607C" w14:paraId="15698468" w14:textId="77777777" w:rsidTr="0077607C">
        <w:tc>
          <w:tcPr>
            <w:tcW w:w="1771" w:type="dxa"/>
          </w:tcPr>
          <w:p w14:paraId="172339B8" w14:textId="77777777" w:rsidR="0077607C" w:rsidRDefault="0077607C" w:rsidP="0077607C">
            <w:r>
              <w:t>Years without winter</w:t>
            </w:r>
          </w:p>
        </w:tc>
        <w:tc>
          <w:tcPr>
            <w:tcW w:w="885" w:type="dxa"/>
          </w:tcPr>
          <w:p w14:paraId="3D69FFE4" w14:textId="77777777" w:rsidR="0077607C" w:rsidRDefault="0077607C">
            <w:r>
              <w:t>80%</w:t>
            </w:r>
          </w:p>
        </w:tc>
        <w:tc>
          <w:tcPr>
            <w:tcW w:w="886" w:type="dxa"/>
          </w:tcPr>
          <w:p w14:paraId="268AA293" w14:textId="77777777" w:rsidR="0077607C" w:rsidRDefault="0077607C">
            <w:r>
              <w:t>66%</w:t>
            </w:r>
          </w:p>
        </w:tc>
        <w:tc>
          <w:tcPr>
            <w:tcW w:w="885" w:type="dxa"/>
          </w:tcPr>
          <w:p w14:paraId="2F8BA597" w14:textId="77777777" w:rsidR="0077607C" w:rsidRDefault="0077607C">
            <w:r>
              <w:t>80%</w:t>
            </w:r>
          </w:p>
        </w:tc>
        <w:tc>
          <w:tcPr>
            <w:tcW w:w="886" w:type="dxa"/>
          </w:tcPr>
          <w:p w14:paraId="1B5C5093" w14:textId="77777777" w:rsidR="0077607C" w:rsidRDefault="0077607C">
            <w:r>
              <w:t>66%</w:t>
            </w:r>
          </w:p>
        </w:tc>
        <w:tc>
          <w:tcPr>
            <w:tcW w:w="885" w:type="dxa"/>
          </w:tcPr>
          <w:p w14:paraId="3F8BCC27" w14:textId="77777777" w:rsidR="0077607C" w:rsidRDefault="0077607C">
            <w:r>
              <w:t>87%</w:t>
            </w:r>
          </w:p>
        </w:tc>
        <w:tc>
          <w:tcPr>
            <w:tcW w:w="886" w:type="dxa"/>
          </w:tcPr>
          <w:p w14:paraId="7123C935" w14:textId="77777777" w:rsidR="0077607C" w:rsidRDefault="0077607C">
            <w:r>
              <w:t>76%</w:t>
            </w:r>
          </w:p>
        </w:tc>
        <w:tc>
          <w:tcPr>
            <w:tcW w:w="886" w:type="dxa"/>
          </w:tcPr>
          <w:p w14:paraId="04EAFCAE" w14:textId="77777777" w:rsidR="0077607C" w:rsidRDefault="0077607C"/>
        </w:tc>
        <w:tc>
          <w:tcPr>
            <w:tcW w:w="886" w:type="dxa"/>
          </w:tcPr>
          <w:p w14:paraId="45EC4D97" w14:textId="77777777" w:rsidR="0077607C" w:rsidRDefault="0077607C"/>
        </w:tc>
      </w:tr>
      <w:tr w:rsidR="0077607C" w14:paraId="53203D37" w14:textId="77777777" w:rsidTr="0077607C">
        <w:tc>
          <w:tcPr>
            <w:tcW w:w="1771" w:type="dxa"/>
          </w:tcPr>
          <w:p w14:paraId="0C094880" w14:textId="77777777" w:rsidR="0077607C" w:rsidRDefault="0077607C">
            <w:r>
              <w:t>Years with winter</w:t>
            </w:r>
          </w:p>
        </w:tc>
        <w:tc>
          <w:tcPr>
            <w:tcW w:w="885" w:type="dxa"/>
          </w:tcPr>
          <w:p w14:paraId="5B2F0B40" w14:textId="77777777" w:rsidR="0077607C" w:rsidRDefault="0077607C">
            <w:r>
              <w:t>85%</w:t>
            </w:r>
          </w:p>
        </w:tc>
        <w:tc>
          <w:tcPr>
            <w:tcW w:w="886" w:type="dxa"/>
          </w:tcPr>
          <w:p w14:paraId="36CF6B4B" w14:textId="77777777" w:rsidR="0077607C" w:rsidRDefault="0077607C">
            <w:r>
              <w:t>68%</w:t>
            </w:r>
          </w:p>
        </w:tc>
        <w:tc>
          <w:tcPr>
            <w:tcW w:w="885" w:type="dxa"/>
          </w:tcPr>
          <w:p w14:paraId="4E53FC4E" w14:textId="77777777" w:rsidR="0077607C" w:rsidRDefault="0077607C">
            <w:r>
              <w:t>84%</w:t>
            </w:r>
          </w:p>
        </w:tc>
        <w:tc>
          <w:tcPr>
            <w:tcW w:w="886" w:type="dxa"/>
          </w:tcPr>
          <w:p w14:paraId="070310EF" w14:textId="77777777" w:rsidR="0077607C" w:rsidRDefault="0077607C">
            <w:r>
              <w:t>68%</w:t>
            </w:r>
          </w:p>
        </w:tc>
        <w:tc>
          <w:tcPr>
            <w:tcW w:w="885" w:type="dxa"/>
          </w:tcPr>
          <w:p w14:paraId="1BAD5713" w14:textId="77777777" w:rsidR="0077607C" w:rsidRDefault="0077607C">
            <w:r>
              <w:t>90%</w:t>
            </w:r>
          </w:p>
        </w:tc>
        <w:tc>
          <w:tcPr>
            <w:tcW w:w="886" w:type="dxa"/>
          </w:tcPr>
          <w:p w14:paraId="63F23ADC" w14:textId="77777777" w:rsidR="0077607C" w:rsidRDefault="0077607C">
            <w:r>
              <w:t>79%</w:t>
            </w:r>
          </w:p>
        </w:tc>
        <w:tc>
          <w:tcPr>
            <w:tcW w:w="886" w:type="dxa"/>
          </w:tcPr>
          <w:p w14:paraId="5EC8E449" w14:textId="77777777" w:rsidR="0077607C" w:rsidRDefault="0077607C">
            <w:r>
              <w:t>90%</w:t>
            </w:r>
          </w:p>
        </w:tc>
        <w:tc>
          <w:tcPr>
            <w:tcW w:w="886" w:type="dxa"/>
          </w:tcPr>
          <w:p w14:paraId="5BEAA09B" w14:textId="77777777" w:rsidR="0077607C" w:rsidRDefault="0077607C">
            <w:r>
              <w:t>78%</w:t>
            </w:r>
          </w:p>
        </w:tc>
      </w:tr>
    </w:tbl>
    <w:p w14:paraId="16D937D5" w14:textId="77777777" w:rsidR="0077607C" w:rsidRDefault="0077607C"/>
    <w:p w14:paraId="263F997B" w14:textId="77777777" w:rsidR="0077607C" w:rsidRDefault="0077607C">
      <w:r>
        <w:t>The percent increase o</w:t>
      </w:r>
      <w:r w:rsidR="008D2E25">
        <w:t xml:space="preserve">f success rates in fall is 2.8%, </w:t>
      </w:r>
      <w:r>
        <w:t>for spring is 2.4%</w:t>
      </w:r>
      <w:r w:rsidR="008D2E25">
        <w:t>, and for summer is 3.8%</w:t>
      </w:r>
      <w:r>
        <w:t xml:space="preserve">. </w:t>
      </w:r>
      <w:r w:rsidR="008D2E25">
        <w:t>The student population has been increasing, but if it were constant from 1992 through 2012, this would mean that 1825 more students would have succeeded in fall, 1525 more in spring and 734 more in winter.</w:t>
      </w:r>
    </w:p>
    <w:p w14:paraId="70EFD8E0" w14:textId="77777777" w:rsidR="0077607C" w:rsidRDefault="0077607C"/>
    <w:p w14:paraId="3C5FF75F" w14:textId="77777777" w:rsidR="0077607C" w:rsidRDefault="0077607C">
      <w:r>
        <w:t xml:space="preserve">The average total number of students that enrolled in summer </w:t>
      </w:r>
      <w:proofErr w:type="gramStart"/>
      <w:r>
        <w:t>I and summer II for years before winter was implemented</w:t>
      </w:r>
      <w:proofErr w:type="gramEnd"/>
      <w:r>
        <w:t xml:space="preserve"> is 19,468. </w:t>
      </w:r>
    </w:p>
    <w:p w14:paraId="48A1C3DD" w14:textId="77777777" w:rsidR="0077607C" w:rsidRDefault="0077607C"/>
    <w:p w14:paraId="00E3D2A6" w14:textId="77777777" w:rsidR="008D2E25" w:rsidRDefault="0077607C">
      <w:r>
        <w:t>The average total number of students that enrolled in summer and winter for years after winter was implemented is 24,651.</w:t>
      </w:r>
    </w:p>
    <w:p w14:paraId="3F14EA38" w14:textId="77777777" w:rsidR="00DC3069" w:rsidRDefault="00DC3069"/>
    <w:p w14:paraId="206A3DDD" w14:textId="617A4F7C" w:rsidR="00DC3069" w:rsidRDefault="008C545E">
      <w:r>
        <w:t>*</w:t>
      </w:r>
      <w:r w:rsidR="00DC3069">
        <w:t>Note: In order to split up the data from summer I and summer II, a different set of data was used that only includes years 1999-2003.</w:t>
      </w:r>
      <w:bookmarkStart w:id="0" w:name="_GoBack"/>
      <w:bookmarkEnd w:id="0"/>
    </w:p>
    <w:sectPr w:rsidR="00DC3069" w:rsidSect="007760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7C"/>
    <w:rsid w:val="0077607C"/>
    <w:rsid w:val="00893E11"/>
    <w:rsid w:val="008C545E"/>
    <w:rsid w:val="008D2E25"/>
    <w:rsid w:val="00DC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E59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157</Words>
  <Characters>898</Characters>
  <Application>Microsoft Macintosh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Henes</dc:creator>
  <cp:keywords/>
  <dc:description/>
  <cp:lastModifiedBy>Matt Henes</cp:lastModifiedBy>
  <cp:revision>3</cp:revision>
  <dcterms:created xsi:type="dcterms:W3CDTF">2013-03-01T19:19:00Z</dcterms:created>
  <dcterms:modified xsi:type="dcterms:W3CDTF">2013-03-01T19:49:00Z</dcterms:modified>
</cp:coreProperties>
</file>